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59</w:t>
      </w:r>
    </w:p>
    <w:p>
      <w:r>
        <w:t>Bundesgericht (BGE), 1997-08-22, DE</w:t>
      </w:r>
    </w:p>
    <w:p>
      <w:r>
        <w:rPr>
          <w:b/>
        </w:rPr>
        <w:t xml:space="preserve">Quelle: </w:t>
      </w:r>
      <w:r>
        <w:t>https://mcp.opencaselaw.ch/entscheid/bge_128 V 59</w:t>
      </w:r>
    </w:p>
    <w:p>
      <w:r>
        <w:t>FR: ATF 128 V 59</w:t>
      </w:r>
    </w:p>
    <w:p>
      <w:r>
        <w:t>IT: DTF 128 V 59</w:t>
      </w:r>
    </w:p>
    <w:p>
      <w:pPr>
        <w:pStyle w:val="Heading2"/>
      </w:pPr>
      <w:r>
        <w:t>Regeste</w:t>
      </w:r>
    </w:p>
    <w:p>
      <w:r>
        <w:t>Regeste Art. 31 Abs. 1 lit. b KVG; Art. 18 lit. d KLV: Kostenübernahme bei zahnärztlicher Behandlung zufolge einer Speicheldrüsenerkrankung. - Art. 31 Abs. 1 lit. b KVG in Verbindung mit Art. 18 KLV löst - analog zu Art. 31 Abs. 1 lit. a KVG in Verbindung mit Art. 17 KLV - nur bei nicht vermeidbaren Erkrankungen des Kausystems Pflichtleistungen der obligatorischen Krankenpflegeversicherung aus; dabei wird grundsätzlich eine objektive Unvermeidbarkeit vorausgesetzt. - Die geforderte Unvermeidbarkeit verlangt eine nach dem jeweiligen Wissensstand der Zahnheilkunde genügende Mundhygiene; eine versicherte Person, die auf Grund ihrer Konstitution, durchgemachten Krankheiten oder durchgeführten Zahnbehandlungen eine erhöhte Anfälligkeit für Zahnerkrankungen aufweist, kann es nicht bei der allgemein üblichen Mundhygiene bewenden lassen.</w:t>
      </w:r>
    </w:p>
    <w:p>
      <w:pPr>
        <w:pStyle w:val="Heading2"/>
      </w:pPr>
      <w:r>
        <w:t>Erwägungen</w:t>
      </w:r>
    </w:p>
    <w:p>
      <w:r>
        <w:rPr>
          <w:b/>
        </w:rPr>
        <w:t>E. 1</w:t>
      </w:r>
    </w:p>
    <w:p>
      <w:r>
        <w:t>Nachdem das Grundsatzgutachten erstellt ist, kann die Sistierung des vorliegenden Verfahrens aufgehoben werden.</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BGE 128 V 59 S. 62 b) 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 c) In BGE 124 V 185 hat das Eidgenössische Versicherungsgericht entschieden, dass die in Art. 17-19 KLV erwähnten Erkrankungen, deren zahnärztliche Behandlung von der sozialen Krankenversicherung zu übernehmen ist, abschliessend aufgezählt sind. Daran hat es in ständiger Rechtsprechung festgehalten ( BGE 127 V 328 und 339).</w:t>
      </w:r>
    </w:p>
    <w:p>
      <w:r>
        <w:rPr>
          <w:b/>
        </w:rPr>
        <w:t>E. 3</w:t>
      </w:r>
    </w:p>
    <w:p>
      <w:r>
        <w:t>Unbestritten und aus den Akten ersichtlich ist, dass die Beschwerdeführerin an den Folgen von Speicheldrüsenresektionen, insbesondere an Xerostomie, leidet und dass daraus eine erhöhte Kariesanfälligkeit resultiert. Einig sind sich alle Beteiligten in der Qualifikation dieses Leidens als Speicheldrüsenerkrankung im Sinne von Art. 18 lit. d KLV . Streitig und zu prüfen ist, ob die Kosten für die zahnärztlichen Behandlungen in der Zeit ab 12. Januar 1996 bis 7. April 1997 von der obligatorischen Krankenpflegeversicherung zu übernehmen sind.</w:t>
      </w:r>
    </w:p>
    <w:p>
      <w:r>
        <w:rPr>
          <w:b/>
        </w:rPr>
        <w:t>E. 4</w:t>
      </w:r>
    </w:p>
    <w:p>
      <w:r>
        <w:t>Gemäss Art. 31 Abs. 1 lit. b KVG in Verbindung mit Art. 18 lit. d KLV übernimmt die Versicherung die Kosten der zahnärztlichen Behandlungen, die durch eine Speicheldrüsenerkrankung oder ihre Folgen bedingt und zur Behandlung des Leidens notwendig sind. a) Wie die Vorinstanz zutreffend dargelegt hat, löst Art. 31 Abs. 1 lit. b KVG in Verbindung mit Art. 18 KLV , obschon in diesen Bestimmungen nicht ausdrücklich erwähnt, analog zu Art. 31 Abs. 1 BGE 128 V 59 S. 63 lit. a KVG in Verbindung mit Art. 17 KLV nur bei nicht vermeidbaren Erkrankungen des Kausystems Pflichtleistungen aus. Nochmals zu betonen ist, dass vorliegend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Amtl.Bull. 1992 S 1301 f.; Amtl.Bull. 1993 N 1843 f.). Andrerseits ergeben auch Sinn und Zweck der Verordnungsbestimmung, dass der Grund für die Zuordnung zu den Pflichtleistungen darin zu sehen ist, dass die versicherte Person für die Kosten der zahnärztlichen Behandlung dann nicht soll aufkommen müssen, wenn sie an einer nicht vermeidbaren Erkrankung des Kausystems leidet, die durch eine schwere Allgemeinerkrankung oder ihre Folgen bedingt ist (vgl. GEBHARD EUGSTER, Krankenversicherungsrechtliche Aspekte der zahnärztlichen Behandlung nach Art. 31 Abs. 1 KVG , in: LAMal-KVG, Recueil de travaux en l'honneur de la Société suisse de droit des assurances, Lausanne 1997, S. 239 f.).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b) Was die Vermeidbarkeit im Sinne der obigen Ausführungen anbelangt, fällt darunter - wie die Vorinstanz ebenfalls zutreffend erwogen hat - alles, was durch eine genügende Mund- und Zahnhygiene vermieden werden könnte. Abzustellen ist dabei grundsätzlich auf eine objektive Vermeidbarkeit der Kausystemerkrankung. Massgebend ist demzufolge, ob beispielsweise Karies oder Parodontitis hätte vermieden werden können, wenn die Mund- und Zahnhygiene genügend gewesen wäre, dies ohne Rücksicht darauf, ob die versäumte Prophylaxe im Einzelfall als subjektiv entschuldbar zu betrachten ist (vgl. EUGSTER, a.a.O., S. 251).</w:t>
      </w:r>
    </w:p>
    <w:p>
      <w:r>
        <w:rPr>
          <w:b/>
        </w:rPr>
        <w:t>E. 5</w:t>
      </w:r>
    </w:p>
    <w:p>
      <w:r>
        <w:t>a) Die Krankenkasse hat weder in der Verfügung und im Einspracheentscheid, noch in der Beschwerdeantwort und in der Duplik im Vorverfahren, noch in der Verwaltungsgerichtsbeschwerde BGE 128 V 59 S. 64 bestritten, dass die Beschwerdeführerin an Mundtrockenheit (Xerostomie) als Folge der Speicheldrüsenerkrankung leidet und dass damit eine erhöhte Kariesanfälligkeit besteht. Sie hat hingegen die Zahnschäden, für welche die Versicherte Kassenleistungen verlangt, als bei guter Mundhygiene vermeidbar bezeichnet. Ihrer Ansicht nach war die Mundhygiene der Beschwerdeführerin ungenügend, wären doch vier jährliche Kontrollen und Fluoridierungen angemessen und zumutbar gewesen. Aus den eingereichten Rechnungen für die Behandlungen ab 1. Januar 1996 (recte: 12. Januar 1996) sei jedoch ersichtlich, dass einzig am 28. März 1996 eine Fluoridierung und am 16. April 1996 eine Schmelzätzung und Dentinvorbehandlung mit Haftvermittler als Kariesprophylaxe durchgeführt worden seien. b) Die Beschwerdeführerin macht demgegenüber geltend, bei den Fällen von Art. 31 Abs. 1 lit. b KVG in Verbindung mit Art. 18 KLV könne Karies unvermeidbar sein. Zur sachkundigen Beantwortung der Frage der Vermeidbarkeit sei - wie bereits im kantonalen Verfahren beantragt - eine medizinische Expertise notwendig. Sie habe eine ordentliche Zahnpflege betrieben und sei stets darauf bedacht gewesen, die Mundschleimhäute nicht austrocknen zu lassen. c) Die Vorinstanz hat sich der Auffassung der Beschwerdegegnerin, wonach die in Rechnung gestellten Zahnbehandlungen bei geeigneter Prophylaxe trotz der bestehenden Xerostomie mit Sicherheit vermeidbar gewesen wären, angeschlossen. Massgebendes Kriterium sei die objektive Unvermeidbarkeit. Die Vermeidbarkeit von Parodontitis und Karies werde damit in gewissem Sinne zu einer Vermutung. Zu einer geeigneten Prophylaxe gehöre in concreto nun aber, dass sie häufiger als nur zweimal innerhalb von 16 Monaten durchgeführt werde.</w:t>
      </w:r>
    </w:p>
    <w:p>
      <w:r>
        <w:rPr>
          <w:b/>
        </w:rPr>
        <w:t>E. 6</w:t>
      </w:r>
    </w:p>
    <w:p>
      <w:r>
        <w:t>Den Darlegungen und insbesondere der Schlussfolgerung von Krankenkasse und Vorinstanz kann nicht beigepflichtet werden. a) Von einer "Vermutung" der Vermeidbarkeit von Karies kann nicht ausgegangen werden, auch nicht in "gewissem Sinne", wie das kantonale Gericht annimmt. Vielmehr gibt es Formen vermeidbarer und nicht vermeidbarer Karies. So hat der Verordnungsgeber mit der Aufnahme von Art. 18 lit. d KLV offensichtlich auch die Behandlung von Karies und andern Zahnschäden zur Pflichtleistung der obligatorischen Krankenpflegeversicherung gemacht, gerade eben in der Erkenntnis, dass Speicheldrüsenerkrankungen und die daraus folgende Mundtrockenheit zu nicht vermeidbaren Zahnschäden führen können. BGE 128 V 59 S. 65 b) Die der Krankenkasse unterbreiteten Rechnungen weisen Zahnbehandlungen ab 12. Januar 1996 aus. Die erste der in den Rechnungen ausgewiesenen zahnärztlichen Verrichtungen ist das provisorische Zementieren einer Krone. Die von der Beschwerdegegnerin behauptete unzureichende Mundhygiene der Versicherten müsste vor diesem Zeitraum ausgewiesen sein. c) Entscheidend kann sodann nicht sein, ob die Beschwerdeführerin eine weniger gute Mundhygiene gehabt hat, als von der Beschwerdegegnerin als nötig und zumutbar erachtet wird, sondern vielmehr, ob die Zahnbehandlungen bei der Speicheldrüsenerkrankung und der dadurch verursachten Mundtrockenheit mit erhöhter Kariesanfälligkeit durch eine genügende und zumutbare Mundhygiene hätten vermieden werden können. Ersteres würde nämlich auf eine Sanktionierung der Beschwerdeführerin hinauslaufen, indem sie wegen ungenügender Mundhygiene der Pflichtleistung selbst dann verlustig ginge, wenn die Zahnschäden trotz optimaler, d.h. genügender und zumutbarer Mundhygiene nicht vermeidbar wären. d) Der behandelnde Zahnarzt attestiert der Versicherten eine gute Mundhygiene. Wird - wie oben dargelegt - auf eine objektive Vermeidbarkeit der Zahnschäden abgestellt, gehört dazu eine allgemein übliche genügende Mund- und Zahnhygiene (Erw. 4a).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e) Ob die Schäden, für welche die Versicherte Leistungen der Krankenkasse begehrt, bei einer solchen Mundhygiene im Sinne von Erw. 6d vermeidbar gewesen wären, kann den Akten nicht entnommen werden. Da die Beantwortung der Frage Fachwissen erfordert, hat die Beschwerdegegnerin darüber unter Wahrung der Parteirechte ein Gutachten einzuholen. Dabei geht es um die Abklärung, welche direkten Zahnschäden, vor allem Karies, und welche Folgeschäden bei einer genügenden Mundhygiene im oben dargestellten Sinne vermeidbar gewesen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